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6"/>
        </w:rPr>
      </w:pPr>
      <w:r>
        <w:rPr>
          <w:rFonts w:ascii="Verdana" w:eastAsia="Verdana" w:hAnsi="Verdana" w:cs="Verdana"/>
          <w:b/>
          <w:caps/>
          <w:sz w:val="26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LXiX-529-24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6"/>
        </w:rPr>
        <w:t>Rady Miejskiej w Andrychowie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6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14 marca 2024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z w:val="24"/>
        </w:rPr>
        <w:t>w sprawie: przekształcenia mieszkania chronionego na mieszkanie treningowe oraz ustalenia szczegółowych zasad ponoszenia odpłatności za pobyt w mieszkaniu treningowym prowadzonym przez Ośrodek Pomocy Społecznej w Andrychowie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 podstawie artykułu 18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ustęp 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punkt 15, artykułu 40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ustęp 1, artykułu 41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ustęp 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roku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samorządzie gminnym (Dziennik Ustaw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2023 roku, pozycja 40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późniejszymi zmianami), artykułu 9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ustęp 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28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lipca 2023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roku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zmianie ustawy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pomocy społecznej oraz niektórych innych ustaw (Dziennik Ustaw pozycja 1693), artykułu 17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ustęp 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punkt 12, artykułu 53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ustęp 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ustęp 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punkt 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oraz artykułu 97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ustęp  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ustęp  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 12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2004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roku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pomocy społecznej (Dziennik Ustaw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2023 roku, pozycja 901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późniejszymi zmianami)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Verdana" w:eastAsia="Verdana" w:hAnsi="Verdana" w:cs="Verdana"/>
          <w:b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trike w:val="0"/>
          <w:color w:val="auto"/>
          <w:sz w:val="24"/>
          <w:u w:val="none"/>
        </w:rPr>
        <w:t>Rada Miejska w</w:t>
      </w:r>
      <w:r>
        <w:rPr>
          <w:rFonts w:ascii="Verdana" w:eastAsia="Verdana" w:hAnsi="Verdana" w:cs="Verdana"/>
          <w:b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/>
          <w:caps w:val="0"/>
          <w:strike w:val="0"/>
          <w:color w:val="auto"/>
          <w:sz w:val="24"/>
          <w:u w:val="none"/>
        </w:rPr>
        <w:t>Andrychowie</w:t>
      </w:r>
      <w:r>
        <w:rPr>
          <w:rFonts w:ascii="Verdana" w:eastAsia="Verdana" w:hAnsi="Verdana" w:cs="Verdana"/>
          <w:b/>
          <w:caps w:val="0"/>
          <w:strike w:val="0"/>
          <w:color w:val="auto"/>
          <w:sz w:val="24"/>
          <w:u w:val="none"/>
        </w:rPr>
        <w:br/>
      </w:r>
      <w:r>
        <w:rPr>
          <w:rFonts w:ascii="Verdana" w:eastAsia="Verdana" w:hAnsi="Verdana" w:cs="Verdana"/>
          <w:b/>
          <w:caps w:val="0"/>
          <w:strike w:val="0"/>
          <w:color w:val="auto"/>
          <w:sz w:val="24"/>
          <w:u w:val="none"/>
        </w:rPr>
        <w:t>uchwala, co następuje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Przekształca się mieszkanie chronione położone przy ul. Batorego 24a                                                    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Andrychowie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prowadzone przez Ośrodek Pomocy Społecznej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Andrychowie na mieszkanie treningowe.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Ustala się szczegółowe zasady ponoszenia odpłatności za pobyt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mieszkaniu treningowym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brzmieniu stanowiącym załącznik 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Traci moc Uchwała nr XI-79-19 Rady Miejskiej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Andrychowie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czerwca 2019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roku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sprawie ustalenia szczegółowych zasad ponoszenia odpłatności za pobyt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mieszkaniu chronionym prowadzonym przez Ośrodek Pomocy Społecznej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Andrychowie.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4.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Wykonanie uchwały powierza się Burmistrzowi Andrychowa.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Verdana" w:eastAsia="Verdana" w:hAnsi="Verdana" w:cs="Verdana"/>
          <w:b/>
          <w:sz w:val="24"/>
        </w:rPr>
        <w:t>§ 5.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życie po upływie 14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 od dnia ogłoszenia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Dzienniku Urzędowym Województwa Małopolskiego.</w:t>
      </w:r>
    </w:p>
    <w:p w:rsidR="00A77B3E">
      <w:pPr>
        <w:spacing w:before="120" w:after="120" w:line="360" w:lineRule="auto"/>
        <w:ind w:left="1020" w:right="1020" w:firstLine="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2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fldChar w:fldCharType="begin"/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fldChar w:fldCharType="separate"/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fldChar w:fldCharType="end"/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right"/>
        <w:rPr>
          <w:rFonts w:ascii="Verdana" w:eastAsia="Verdana" w:hAnsi="Verdana" w:cs="Verdana"/>
          <w:b w:val="0"/>
          <w:caps w:val="0"/>
          <w:strike w:val="0"/>
          <w:color w:val="auto"/>
          <w:sz w:val="26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6"/>
          <w:u w:val="none"/>
        </w:rPr>
        <w:t>Załącznik do Uchwały Nr LXIX-529-24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6"/>
          <w:u w:val="none"/>
        </w:rPr>
        <w:br/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6"/>
          <w:u w:val="none"/>
        </w:rPr>
        <w:t>Rady Miejskiej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6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6"/>
          <w:u w:val="none"/>
        </w:rPr>
        <w:t>Andrychowie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6"/>
          <w:u w:val="none"/>
        </w:rPr>
        <w:br/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6"/>
          <w:u w:val="none"/>
        </w:rPr>
        <w:t>z dnia 14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6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6"/>
          <w:u w:val="none"/>
        </w:rPr>
        <w:t>marca 2024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6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6"/>
          <w:u w:val="no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Verdana" w:eastAsia="Verdana" w:hAnsi="Verdana" w:cs="Verdana"/>
          <w:b/>
          <w:caps w:val="0"/>
          <w:strike w:val="0"/>
          <w:color w:val="auto"/>
          <w:sz w:val="26"/>
          <w:u w:val="none"/>
        </w:rPr>
      </w:pPr>
      <w:r>
        <w:rPr>
          <w:rFonts w:ascii="Verdana" w:eastAsia="Verdana" w:hAnsi="Verdana" w:cs="Verdana"/>
          <w:b/>
          <w:caps w:val="0"/>
          <w:strike w:val="0"/>
          <w:color w:val="auto"/>
          <w:sz w:val="26"/>
          <w:u w:val="none"/>
        </w:rPr>
        <w:t>SZCZEGÓŁOWE ZASADY PONOSZENIA ODPŁATNOŚCI ZA POBYT W</w:t>
      </w:r>
      <w:r>
        <w:rPr>
          <w:rFonts w:ascii="Verdana" w:eastAsia="Verdana" w:hAnsi="Verdana" w:cs="Verdana"/>
          <w:b/>
          <w:caps w:val="0"/>
          <w:strike w:val="0"/>
          <w:color w:val="auto"/>
          <w:sz w:val="26"/>
          <w:u w:val="none"/>
        </w:rPr>
        <w:t> </w:t>
      </w:r>
      <w:r>
        <w:rPr>
          <w:rFonts w:ascii="Verdana" w:eastAsia="Verdana" w:hAnsi="Verdana" w:cs="Verdana"/>
          <w:b/>
          <w:caps w:val="0"/>
          <w:strike w:val="0"/>
          <w:color w:val="auto"/>
          <w:sz w:val="26"/>
          <w:u w:val="none"/>
        </w:rPr>
        <w:t>MIESZKANIU TRENINGOWYM PROWADZONYM PRZEZ OŚRODEK POMOCY SPOŁECZNEJ W</w:t>
      </w:r>
      <w:r>
        <w:rPr>
          <w:rFonts w:ascii="Verdana" w:eastAsia="Verdana" w:hAnsi="Verdana" w:cs="Verdana"/>
          <w:b/>
          <w:caps w:val="0"/>
          <w:strike w:val="0"/>
          <w:color w:val="auto"/>
          <w:sz w:val="26"/>
          <w:u w:val="none"/>
        </w:rPr>
        <w:t> </w:t>
      </w:r>
      <w:r>
        <w:rPr>
          <w:rFonts w:ascii="Verdana" w:eastAsia="Verdana" w:hAnsi="Verdana" w:cs="Verdana"/>
          <w:b/>
          <w:caps w:val="0"/>
          <w:strike w:val="0"/>
          <w:color w:val="auto"/>
          <w:sz w:val="26"/>
          <w:u w:val="none"/>
        </w:rPr>
        <w:t>ANDRYCHOWIE</w:t>
      </w:r>
      <w:r>
        <w:rPr>
          <w:rFonts w:ascii="Verdana" w:eastAsia="Verdana" w:hAnsi="Verdana" w:cs="Verdana"/>
          <w:b/>
          <w:caps w:val="0"/>
          <w:strike w:val="0"/>
          <w:color w:val="auto"/>
          <w:sz w:val="26"/>
          <w:u w:val="none"/>
        </w:rPr>
        <w:br/>
      </w:r>
      <w:r>
        <w:rPr>
          <w:rFonts w:ascii="Verdana" w:eastAsia="Verdana" w:hAnsi="Verdana" w:cs="Verdana"/>
          <w:b/>
          <w:caps w:val="0"/>
          <w:strike w:val="0"/>
          <w:color w:val="auto"/>
          <w:sz w:val="26"/>
          <w:u w:val="none"/>
        </w:rPr>
        <w:br/>
      </w:r>
      <w:r>
        <w:rPr>
          <w:rFonts w:ascii="Verdana" w:eastAsia="Verdana" w:hAnsi="Verdana" w:cs="Verdana"/>
          <w:b/>
          <w:caps w:val="0"/>
          <w:strike w:val="0"/>
          <w:color w:val="auto"/>
          <w:sz w:val="26"/>
          <w:u w:val="none"/>
        </w:rPr>
        <w:t>§</w:t>
      </w:r>
      <w:r>
        <w:rPr>
          <w:rFonts w:ascii="Verdana" w:eastAsia="Verdana" w:hAnsi="Verdana" w:cs="Verdana"/>
          <w:b/>
          <w:caps w:val="0"/>
          <w:strike w:val="0"/>
          <w:color w:val="auto"/>
          <w:sz w:val="26"/>
          <w:u w:val="none"/>
        </w:rPr>
        <w:t> </w:t>
      </w:r>
      <w:r>
        <w:rPr>
          <w:rFonts w:ascii="Verdana" w:eastAsia="Verdana" w:hAnsi="Verdana" w:cs="Verdana"/>
          <w:b/>
          <w:caps w:val="0"/>
          <w:strike w:val="0"/>
          <w:color w:val="auto"/>
          <w:sz w:val="26"/>
          <w:u w:val="none"/>
        </w:rPr>
        <w:t>1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6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6"/>
          <w:u w:val="none"/>
        </w:rPr>
        <w:t>Użyte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6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6"/>
          <w:u w:val="none"/>
        </w:rPr>
        <w:t>Zasadach określenia oznaczają: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6"/>
          <w:u w:val="none"/>
          <w:vertAlign w:val="baseline"/>
        </w:rPr>
        <w:t>1)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>ustawa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 xml:space="preserve"> – ustawa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dnia 12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marca 2004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roku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pomocy społecznej,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2)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>dochód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 xml:space="preserve">  - dochód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rozumieniu Ustawy,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3)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>kryterium dochodowe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 xml:space="preserve"> – kryterium dochodowe osoby samotnie gospodarującej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br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lub kryterium dochodowe na osobę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rodzinie ustalone zgodnie                                                                  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art.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8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ust.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Ustawy,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4)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>Ośrodek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 xml:space="preserve"> – Ośrodek Pomocy Społecznej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Andrychowie,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5)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 xml:space="preserve">Mieszkanie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– mieszkanie treningowe prowadzone przez Ośrodek,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6)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>miesięczny koszt utrzymania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 xml:space="preserve"> – kwota rocznych kosztów działalności      Mieszkania, wynikająca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utrzymania osób przebywających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Mieszkaniu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roku poprzedniego, obejmująca usługi dostępne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mieszkaniu bez wydatków inwestycyjnych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wydatków bieżących na remonty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wyposażenie, podzielona przez liczbę miejsc (ustaloną jako sumę rzeczywistej liczby osób przebywających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mieszkaniu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przeliczeniu na osobodzień), podzielona przez 12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 xml:space="preserve">miesięcy, 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7)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>odpłatność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 xml:space="preserve"> – kwota opłaty za pobyt jednej osoby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 xml:space="preserve">Mieszkaniu, 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8)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 xml:space="preserve">Burmistrz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– Burmistrz Andrychowa,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9)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 xml:space="preserve">pobyt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– okres faktycznego przebywania osoby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Mieszkaniu,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10)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>Świadczeniobiorca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 xml:space="preserve"> – osoba ubiegająca się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przyznanie pomocy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formie Mieszkania albo osoba, potrzebująca wsparcia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przebywająca na terenie Mieszkania.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>§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>2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1.Pomoc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 xml:space="preserve">formie 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>nieodpłatnego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 xml:space="preserve"> pobytu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Mieszkaniu przysługuje osobom mającym miejsce zamieszkania lub ostatnie miejsce zameldowania na terenie Gminy Andrychów, których dochód nie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przekracza kwoty kryterium dochodowego.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2.  Dla Świadczeniobiorców, których dochód przekracza kwotę kryterium dochodowego, ustala się odpłatność za pobyt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Mieszkaniu zgodnie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poniższą tabelą: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191"/>
        <w:gridCol w:w="489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Verdana" w:eastAsia="Verdana" w:hAnsi="Verdana" w:cs="Verdana"/>
                <w:b w:val="0"/>
                <w:i w:val="0"/>
                <w:caps w:val="0"/>
                <w:strike w:val="0"/>
                <w:color w:val="000000"/>
                <w:sz w:val="26"/>
                <w:u w:val="none" w:color="000000"/>
                <w:vertAlign w:val="baseline"/>
              </w:rPr>
            </w:pPr>
            <w:r>
              <w:t>Procentowy stosunek dochodu osiąganego przez Świadczeniobiorcę do kryterium dochodowego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Verdana" w:eastAsia="Verdana" w:hAnsi="Verdana" w:cs="Verdana"/>
                <w:b w:val="0"/>
                <w:i w:val="0"/>
                <w:caps w:val="0"/>
                <w:strike w:val="0"/>
                <w:color w:val="000000"/>
                <w:sz w:val="26"/>
                <w:u w:val="none" w:color="000000"/>
                <w:vertAlign w:val="baseline"/>
              </w:rPr>
            </w:pPr>
            <w:r>
              <w:t>Wysokość odpłatności za pobyt w</w:t>
            </w:r>
            <w:r>
              <w:t> </w:t>
            </w:r>
            <w:r>
              <w:t>% liczona od aktualnie obowiązującego miesięcznego kosztu utrzymania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Verdana" w:eastAsia="Verdana" w:hAnsi="Verdana" w:cs="Verdana"/>
                <w:b w:val="0"/>
                <w:i w:val="0"/>
                <w:caps w:val="0"/>
                <w:strike w:val="0"/>
                <w:color w:val="000000"/>
                <w:sz w:val="26"/>
                <w:u w:val="none" w:color="000000"/>
                <w:vertAlign w:val="baseline"/>
              </w:rPr>
            </w:pPr>
            <w:r>
              <w:t>≤ 100%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Verdana" w:eastAsia="Verdana" w:hAnsi="Verdana" w:cs="Verdana"/>
                <w:b w:val="0"/>
                <w:i w:val="0"/>
                <w:caps w:val="0"/>
                <w:strike w:val="0"/>
                <w:color w:val="000000"/>
                <w:sz w:val="26"/>
                <w:u w:val="none" w:color="000000"/>
                <w:vertAlign w:val="baseline"/>
              </w:rPr>
            </w:pPr>
            <w:r>
              <w:t>nieodpłatnie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Verdana" w:eastAsia="Verdana" w:hAnsi="Verdana" w:cs="Verdana"/>
                <w:b w:val="0"/>
                <w:i w:val="0"/>
                <w:caps w:val="0"/>
                <w:strike w:val="0"/>
                <w:color w:val="000000"/>
                <w:sz w:val="26"/>
                <w:u w:val="none" w:color="000000"/>
                <w:vertAlign w:val="baseline"/>
              </w:rPr>
            </w:pPr>
            <w:r>
              <w:t>&gt;100% ≤125%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Verdana" w:eastAsia="Verdana" w:hAnsi="Verdana" w:cs="Verdana"/>
                <w:b w:val="0"/>
                <w:i w:val="0"/>
                <w:caps w:val="0"/>
                <w:strike w:val="0"/>
                <w:color w:val="000000"/>
                <w:sz w:val="26"/>
                <w:u w:val="none" w:color="000000"/>
                <w:vertAlign w:val="baseline"/>
              </w:rPr>
            </w:pPr>
            <w:r>
              <w:t>15 %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Verdana" w:eastAsia="Verdana" w:hAnsi="Verdana" w:cs="Verdana"/>
                <w:b w:val="0"/>
                <w:i w:val="0"/>
                <w:caps w:val="0"/>
                <w:strike w:val="0"/>
                <w:color w:val="000000"/>
                <w:sz w:val="26"/>
                <w:u w:val="none" w:color="000000"/>
                <w:vertAlign w:val="baseline"/>
              </w:rPr>
            </w:pPr>
            <w:r>
              <w:t>&gt;125% ≤ 150%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Verdana" w:eastAsia="Verdana" w:hAnsi="Verdana" w:cs="Verdana"/>
                <w:b w:val="0"/>
                <w:i w:val="0"/>
                <w:caps w:val="0"/>
                <w:strike w:val="0"/>
                <w:color w:val="000000"/>
                <w:sz w:val="26"/>
                <w:u w:val="none" w:color="000000"/>
                <w:vertAlign w:val="baseline"/>
              </w:rPr>
            </w:pPr>
            <w:r>
              <w:t>30%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Verdana" w:eastAsia="Verdana" w:hAnsi="Verdana" w:cs="Verdana"/>
                <w:b w:val="0"/>
                <w:i w:val="0"/>
                <w:caps w:val="0"/>
                <w:strike w:val="0"/>
                <w:color w:val="000000"/>
                <w:sz w:val="26"/>
                <w:u w:val="none" w:color="000000"/>
                <w:vertAlign w:val="baseline"/>
              </w:rPr>
            </w:pPr>
            <w:r>
              <w:t>&gt;150% ≤ 200%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Verdana" w:eastAsia="Verdana" w:hAnsi="Verdana" w:cs="Verdana"/>
                <w:b w:val="0"/>
                <w:i w:val="0"/>
                <w:caps w:val="0"/>
                <w:strike w:val="0"/>
                <w:color w:val="000000"/>
                <w:sz w:val="26"/>
                <w:u w:val="none" w:color="000000"/>
                <w:vertAlign w:val="baseline"/>
              </w:rPr>
            </w:pPr>
            <w:r>
              <w:t>60 %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Verdana" w:eastAsia="Verdana" w:hAnsi="Verdana" w:cs="Verdana"/>
                <w:b w:val="0"/>
                <w:i w:val="0"/>
                <w:caps w:val="0"/>
                <w:strike w:val="0"/>
                <w:color w:val="000000"/>
                <w:sz w:val="26"/>
                <w:u w:val="none" w:color="000000"/>
                <w:vertAlign w:val="baseline"/>
              </w:rPr>
            </w:pPr>
            <w:r>
              <w:t>&gt;200%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Verdana" w:eastAsia="Verdana" w:hAnsi="Verdana" w:cs="Verdana"/>
                <w:b w:val="0"/>
                <w:i w:val="0"/>
                <w:caps w:val="0"/>
                <w:strike w:val="0"/>
                <w:color w:val="000000"/>
                <w:sz w:val="26"/>
                <w:u w:val="none" w:color="000000"/>
                <w:vertAlign w:val="baseline"/>
              </w:rPr>
            </w:pPr>
            <w:r>
              <w:t>100 %</w:t>
            </w:r>
          </w:p>
        </w:tc>
      </w:tr>
    </w:tbl>
    <w:p w:rsidR="00A77B3E">
      <w:pPr>
        <w:keepNext w:val="0"/>
        <w:keepLines w:val="0"/>
        <w:spacing w:before="120" w:after="120" w:line="276" w:lineRule="auto"/>
        <w:ind w:left="0" w:right="0" w:firstLine="227"/>
        <w:jc w:val="both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-lecz nie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wyższą, niż dochód Świadczeniobiorcy.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 xml:space="preserve"> §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>3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1.Podstawą do ustalenia odpłatności za pobyt Świadczeniobiorcy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Mieszkaniu jest miesięczny koszt utrzymania, który ustala się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 xml:space="preserve">wysokości 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>434,57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 xml:space="preserve">zł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od osoby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może podlegać corocznej zmianie po okresie sprawozdawczym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drodze Zarządzenia Burmistrza, na podstawie informacji Dyrektora Ośrodka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wydatkach na utrzymanie Mieszkania.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2.Dyrektor Ośrodka zobowiązany jest przedstawić Burmistrzowi   informację,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której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mowa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ust.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1,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nieprzekraczalnym terminie do 31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marca każdego roku kalendarzowego.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>§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6"/>
          <w:u w:val="none" w:color="000000"/>
          <w:vertAlign w:val="baseline"/>
        </w:rPr>
        <w:t>4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1.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przypadku, gdy pobyt Świadczeniobiorcy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Mieszkaniu nie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obejmuje pełnego miesiąca kalendarzowego, opłatę oblicza się proporcjonalnie za każdy dzień pobytu, dzieląc aktualnie obowiązującą kwotę miesięcznego utrzymania przez liczbę dni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danym miesiącu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mnożąc przez liczbę dni pobytu.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2.Wysokość odpłatności podlega zaokrągleniu do dwóch miejsc po przecinku,  a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mianowicie: kwoty zaokrągla się do pełnych groszy, przy czym końcówki poniżej 0,5 grosza pomija się, a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końcówki od 0,5 grosza zaokrągla się do 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grosza.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3.Skierowanie do korzystania ze wsparcia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Mieszkaniu, ustalenie wysokość odpłatności za pobyt oraz termin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sposób płatności, ustala się indywidualnie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6"/>
          <w:u w:val="none" w:color="000000"/>
          <w:vertAlign w:val="baseline"/>
        </w:rPr>
        <w:t>drodze decyzji administracyjnej, wydanej na podstawie przepisów Ustawy.</w:t>
      </w:r>
    </w:p>
    <w:sectPr>
      <w:footerReference w:type="default" r:id="rId5"/>
      <w:endnotePr>
        <w:numFmt w:val="decimal"/>
      </w:endnotePr>
      <w:type w:val="nextPage"/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E041A4E3-FBDD-4DC2-9230-3B5C04956BF2.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E041A4E3-FBDD-4DC2-9230-3B5C04956BF2.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Andrychowie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LXiX-529-24 z dnia 14 marca 2024 r.</dc:title>
  <dc:subject>w sprawie: przekształcenia mieszkania chronionego na mieszkanie treningowe oraz ustalenia szczegółowych zasad ponoszenia odpłatności za pobyt w^mieszkaniu treningowym prowadzonym przez Ośrodek Pomocy Społecznej w^Andrychowie</dc:subject>
  <dc:creator>marta.mazur</dc:creator>
  <cp:lastModifiedBy>marta.mazur</cp:lastModifiedBy>
  <cp:revision>1</cp:revision>
  <dcterms:created xsi:type="dcterms:W3CDTF">2025-05-27T10:32:12Z</dcterms:created>
  <dcterms:modified xsi:type="dcterms:W3CDTF">2025-05-27T10:32:12Z</dcterms:modified>
  <cp:category>Akt prawny</cp:category>
</cp:coreProperties>
</file>